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10440"/>
      </w:tblGrid>
      <w:tr w:rsidR="003359E3" w:rsidTr="002D79BC">
        <w:trPr>
          <w:trHeight w:val="430"/>
        </w:trPr>
        <w:tc>
          <w:tcPr>
            <w:tcW w:w="10440" w:type="dxa"/>
            <w:shd w:val="clear" w:color="auto" w:fill="3B3838" w:themeFill="background2" w:themeFillShade="40"/>
            <w:vAlign w:val="center"/>
          </w:tcPr>
          <w:p w:rsidR="006105F2" w:rsidRDefault="00C43D1B" w:rsidP="00CC7608">
            <w:pPr>
              <w:spacing w:before="60" w:after="60"/>
              <w:ind w:right="38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APPLICATION </w:t>
            </w:r>
            <w:r w:rsidR="0034127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FOR A RESIDENTIAL PARKING PERMIT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C85A5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2022/23</w:t>
            </w:r>
          </w:p>
          <w:p w:rsidR="004D6D26" w:rsidRPr="00833EAF" w:rsidRDefault="004D6D26" w:rsidP="004D6D26">
            <w:pPr>
              <w:spacing w:before="60" w:after="60"/>
              <w:ind w:right="389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3EAF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You can now pay and apply for this permit online – visit </w:t>
            </w:r>
            <w:hyperlink r:id="rId8" w:history="1">
              <w:r w:rsidRPr="00833EAF">
                <w:rPr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www.whitehorse.vic.gov.au</w:t>
              </w:r>
            </w:hyperlink>
          </w:p>
        </w:tc>
      </w:tr>
    </w:tbl>
    <w:p w:rsidR="00F1458F" w:rsidRPr="00387147" w:rsidRDefault="00F1458F" w:rsidP="003359E3">
      <w:pPr>
        <w:spacing w:after="0" w:line="240" w:lineRule="auto"/>
        <w:ind w:right="389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10435" w:type="dxa"/>
        <w:tblLook w:val="04A0" w:firstRow="1" w:lastRow="0" w:firstColumn="1" w:lastColumn="0" w:noHBand="0" w:noVBand="1"/>
      </w:tblPr>
      <w:tblGrid>
        <w:gridCol w:w="2874"/>
        <w:gridCol w:w="2520"/>
        <w:gridCol w:w="2520"/>
        <w:gridCol w:w="2521"/>
      </w:tblGrid>
      <w:tr w:rsidR="00132AD5" w:rsidRPr="00B81B05" w:rsidTr="00026CB2">
        <w:tc>
          <w:tcPr>
            <w:tcW w:w="104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2AD5" w:rsidRPr="00D56B1B" w:rsidRDefault="00132AD5" w:rsidP="004646F2">
            <w:pPr>
              <w:spacing w:before="60" w:after="60"/>
              <w:ind w:right="3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</w:tr>
      <w:tr w:rsidR="00635181" w:rsidRPr="00B81B05" w:rsidTr="00026CB2"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  <w:r w:rsidRPr="00CA211D">
              <w:rPr>
                <w:rFonts w:cstheme="minorHAnsi"/>
                <w:bCs/>
                <w:sz w:val="18"/>
                <w:szCs w:val="18"/>
              </w:rPr>
              <w:t>Applicant</w:t>
            </w:r>
            <w:r w:rsidR="009871DD" w:rsidRPr="00CA211D">
              <w:rPr>
                <w:rFonts w:cstheme="minorHAnsi"/>
                <w:bCs/>
                <w:sz w:val="18"/>
                <w:szCs w:val="18"/>
              </w:rPr>
              <w:t>’s</w:t>
            </w:r>
            <w:r w:rsidRPr="00CA211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9871DD" w:rsidRPr="00CA211D">
              <w:rPr>
                <w:rFonts w:cstheme="minorHAnsi"/>
                <w:bCs/>
                <w:sz w:val="18"/>
                <w:szCs w:val="18"/>
              </w:rPr>
              <w:t>Name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5181" w:rsidRPr="00B81B05" w:rsidTr="00026CB2">
        <w:tc>
          <w:tcPr>
            <w:tcW w:w="2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  <w:r w:rsidRPr="00CA211D">
              <w:rPr>
                <w:rFonts w:cstheme="minorHAnsi"/>
                <w:bCs/>
                <w:sz w:val="18"/>
                <w:szCs w:val="18"/>
              </w:rPr>
              <w:t>Postal Address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5181" w:rsidRPr="00B81B05" w:rsidTr="00026CB2">
        <w:tc>
          <w:tcPr>
            <w:tcW w:w="2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871DD" w:rsidRPr="00B81B05" w:rsidTr="00026CB2"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DD" w:rsidRPr="00CA211D" w:rsidRDefault="009871DD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  <w:r w:rsidRPr="00CA211D">
              <w:rPr>
                <w:rFonts w:cstheme="minorHAnsi"/>
                <w:bCs/>
                <w:sz w:val="18"/>
                <w:szCs w:val="18"/>
              </w:rPr>
              <w:t>Phone (mobile)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D" w:rsidRPr="00CA211D" w:rsidRDefault="009871DD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DD" w:rsidRPr="00CA211D" w:rsidRDefault="009871DD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  <w:r w:rsidRPr="00CA211D">
              <w:rPr>
                <w:rFonts w:cstheme="minorHAnsi"/>
                <w:bCs/>
                <w:sz w:val="18"/>
                <w:szCs w:val="18"/>
              </w:rPr>
              <w:t>Phone (b/hours)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1DD" w:rsidRPr="00CA211D" w:rsidRDefault="009871DD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5181" w:rsidRPr="00B81B05" w:rsidTr="00026CB2">
        <w:tc>
          <w:tcPr>
            <w:tcW w:w="28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  <w:r w:rsidRPr="00CA211D">
              <w:rPr>
                <w:rFonts w:cstheme="minorHAnsi"/>
                <w:bCs/>
                <w:sz w:val="18"/>
                <w:szCs w:val="18"/>
              </w:rPr>
              <w:t>Email address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181" w:rsidRPr="00CA211D" w:rsidRDefault="00635181" w:rsidP="004646F2">
            <w:pPr>
              <w:spacing w:before="60" w:after="60"/>
              <w:ind w:right="39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C14AB" w:rsidRPr="00EA2881" w:rsidTr="00026CB2">
        <w:tblPrEx>
          <w:tblBorders>
            <w:insideV w:val="dotted" w:sz="4" w:space="0" w:color="auto"/>
          </w:tblBorders>
        </w:tblPrEx>
        <w:tc>
          <w:tcPr>
            <w:tcW w:w="10435" w:type="dxa"/>
            <w:gridSpan w:val="4"/>
            <w:shd w:val="clear" w:color="auto" w:fill="AEAAAA" w:themeFill="background2" w:themeFillShade="BF"/>
          </w:tcPr>
          <w:p w:rsidR="005C14AB" w:rsidRPr="00D56B1B" w:rsidRDefault="005C14AB" w:rsidP="004646F2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Documentation to be attached with </w:t>
            </w:r>
            <w:r w:rsidR="009871DD"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application form</w:t>
            </w:r>
          </w:p>
        </w:tc>
      </w:tr>
      <w:tr w:rsidR="005C14AB" w:rsidRPr="00132AD5" w:rsidTr="00026CB2">
        <w:tblPrEx>
          <w:tblBorders>
            <w:insideV w:val="dotted" w:sz="4" w:space="0" w:color="auto"/>
          </w:tblBorders>
        </w:tblPrEx>
        <w:tc>
          <w:tcPr>
            <w:tcW w:w="10435" w:type="dxa"/>
            <w:gridSpan w:val="4"/>
            <w:shd w:val="clear" w:color="auto" w:fill="auto"/>
          </w:tcPr>
          <w:p w:rsidR="00132AD5" w:rsidRPr="00A30B7C" w:rsidRDefault="00132AD5" w:rsidP="004646F2">
            <w:pPr>
              <w:spacing w:before="60" w:after="60"/>
              <w:ind w:left="142"/>
              <w:rPr>
                <w:rFonts w:cstheme="minorHAnsi"/>
                <w:sz w:val="18"/>
                <w:szCs w:val="18"/>
              </w:rPr>
            </w:pPr>
            <w:r w:rsidRPr="00A30B7C">
              <w:rPr>
                <w:rFonts w:cstheme="minorHAnsi"/>
                <w:bCs/>
                <w:sz w:val="18"/>
                <w:szCs w:val="18"/>
              </w:rPr>
              <w:t>In order for this application to be considered you are required to provide copies of the following documents</w:t>
            </w:r>
            <w:r w:rsidR="005A67BB" w:rsidRPr="00A30B7C">
              <w:rPr>
                <w:rFonts w:cstheme="minorHAnsi"/>
                <w:bCs/>
                <w:sz w:val="18"/>
                <w:szCs w:val="18"/>
              </w:rPr>
              <w:t>:</w:t>
            </w:r>
          </w:p>
          <w:p w:rsidR="005C14AB" w:rsidRPr="00A30B7C" w:rsidRDefault="00341277" w:rsidP="005B711C">
            <w:pPr>
              <w:pStyle w:val="ListParagraph"/>
              <w:numPr>
                <w:ilvl w:val="0"/>
                <w:numId w:val="1"/>
              </w:numPr>
              <w:spacing w:before="60" w:after="60"/>
              <w:ind w:left="6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Proof of residency such as </w:t>
            </w:r>
            <w:r w:rsidRPr="00341277">
              <w:rPr>
                <w:rFonts w:cstheme="minorHAnsi"/>
                <w:sz w:val="18"/>
                <w:szCs w:val="18"/>
              </w:rPr>
              <w:t>a driver’s license, utility bill, residential lease or REIV bond lodgment etc.</w:t>
            </w:r>
          </w:p>
          <w:p w:rsidR="005C14AB" w:rsidRPr="0087117A" w:rsidRDefault="00DB07A7" w:rsidP="00341277">
            <w:pPr>
              <w:pStyle w:val="ListParagraph"/>
              <w:numPr>
                <w:ilvl w:val="0"/>
                <w:numId w:val="1"/>
              </w:numPr>
              <w:spacing w:before="60" w:after="60"/>
              <w:ind w:left="607"/>
              <w:rPr>
                <w:rFonts w:cstheme="minorHAnsi"/>
                <w:sz w:val="18"/>
                <w:szCs w:val="18"/>
              </w:rPr>
            </w:pPr>
            <w:r w:rsidRPr="00DB07A7">
              <w:rPr>
                <w:rFonts w:cstheme="minorHAnsi"/>
                <w:sz w:val="18"/>
                <w:szCs w:val="18"/>
              </w:rPr>
              <w:t>Holders of a DVA Gold Card, Senior Health Care, Health Care and Pensioner Concession cardholders are entitled to their first residential parking permit free of charge.</w:t>
            </w:r>
          </w:p>
        </w:tc>
      </w:tr>
    </w:tbl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874"/>
        <w:gridCol w:w="7566"/>
      </w:tblGrid>
      <w:tr w:rsidR="00F82001" w:rsidRPr="006E1685" w:rsidTr="00341277">
        <w:tc>
          <w:tcPr>
            <w:tcW w:w="2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277" w:rsidRPr="00D56B1B" w:rsidRDefault="00341277" w:rsidP="00341277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Types of Permits</w:t>
            </w: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341277" w:rsidRPr="00341277" w:rsidRDefault="00341277" w:rsidP="00341277">
            <w:pPr>
              <w:pStyle w:val="ListParagraph"/>
              <w:numPr>
                <w:ilvl w:val="0"/>
                <w:numId w:val="15"/>
              </w:numPr>
              <w:spacing w:before="60" w:after="60"/>
              <w:ind w:left="438"/>
              <w:rPr>
                <w:rFonts w:cstheme="minorHAnsi"/>
                <w:sz w:val="18"/>
                <w:szCs w:val="18"/>
              </w:rPr>
            </w:pPr>
            <w:r w:rsidRPr="00341277">
              <w:rPr>
                <w:rFonts w:cstheme="minorHAnsi"/>
                <w:sz w:val="18"/>
                <w:szCs w:val="18"/>
              </w:rPr>
              <w:t>An adhesive windscreen sticker that is linked to a specific vehicle’s registration – (RES)</w:t>
            </w:r>
          </w:p>
          <w:p w:rsidR="00F82001" w:rsidRPr="00341277" w:rsidRDefault="00341277" w:rsidP="00341277">
            <w:pPr>
              <w:pStyle w:val="ListParagraph"/>
              <w:numPr>
                <w:ilvl w:val="0"/>
                <w:numId w:val="15"/>
              </w:numPr>
              <w:spacing w:before="60" w:after="60"/>
              <w:ind w:left="438"/>
              <w:rPr>
                <w:rFonts w:cstheme="minorHAnsi"/>
                <w:sz w:val="18"/>
                <w:szCs w:val="18"/>
              </w:rPr>
            </w:pPr>
            <w:r w:rsidRPr="00341277">
              <w:rPr>
                <w:rFonts w:cstheme="minorHAnsi"/>
                <w:sz w:val="18"/>
                <w:szCs w:val="18"/>
              </w:rPr>
              <w:t>A card that can displayed on the dashboard of vehicles visiting the property – (</w:t>
            </w:r>
            <w:r>
              <w:rPr>
                <w:rFonts w:cstheme="minorHAnsi"/>
                <w:sz w:val="18"/>
                <w:szCs w:val="18"/>
              </w:rPr>
              <w:t>VIS)</w:t>
            </w:r>
          </w:p>
        </w:tc>
      </w:tr>
    </w:tbl>
    <w:p w:rsidR="00F82001" w:rsidRDefault="00F82001" w:rsidP="00387147">
      <w:pPr>
        <w:spacing w:after="0" w:line="240" w:lineRule="auto"/>
        <w:ind w:right="389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874"/>
        <w:gridCol w:w="3783"/>
        <w:gridCol w:w="3783"/>
      </w:tblGrid>
      <w:tr w:rsidR="00341277" w:rsidRPr="006E1685" w:rsidTr="00341277">
        <w:trPr>
          <w:trHeight w:val="323"/>
        </w:trPr>
        <w:tc>
          <w:tcPr>
            <w:tcW w:w="2874" w:type="dxa"/>
            <w:vMerge w:val="restart"/>
            <w:shd w:val="clear" w:color="auto" w:fill="D9D9D9" w:themeFill="background1" w:themeFillShade="D9"/>
          </w:tcPr>
          <w:p w:rsidR="00341277" w:rsidRPr="00D56B1B" w:rsidRDefault="00DB4C25" w:rsidP="00BD035C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Maximum </w:t>
            </w:r>
            <w:r w:rsidR="0034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Permit </w:t>
            </w:r>
            <w:r w:rsidR="00BD035C">
              <w:rPr>
                <w:rFonts w:ascii="Arial" w:hAnsi="Arial" w:cs="Arial"/>
                <w:b/>
                <w:bCs/>
                <w:sz w:val="20"/>
                <w:szCs w:val="20"/>
              </w:rPr>
              <w:t>Allocations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b/>
                <w:sz w:val="18"/>
                <w:szCs w:val="18"/>
                <w:lang w:val="en-US"/>
              </w:rPr>
              <w:t>Dwellings per Lot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BD035C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b/>
                <w:sz w:val="18"/>
                <w:szCs w:val="18"/>
                <w:lang w:val="en-US"/>
              </w:rPr>
              <w:t xml:space="preserve">Maximum </w:t>
            </w:r>
            <w:r w:rsidR="00BD035C">
              <w:rPr>
                <w:rFonts w:cstheme="minorHAnsi"/>
                <w:b/>
                <w:sz w:val="18"/>
                <w:szCs w:val="18"/>
                <w:lang w:val="en-US"/>
              </w:rPr>
              <w:t>N</w:t>
            </w:r>
            <w:r w:rsidRPr="00BD035C">
              <w:rPr>
                <w:rFonts w:cstheme="minorHAnsi"/>
                <w:b/>
                <w:sz w:val="18"/>
                <w:szCs w:val="18"/>
                <w:lang w:val="en-US"/>
              </w:rPr>
              <w:t xml:space="preserve">umber of </w:t>
            </w:r>
            <w:r w:rsidR="00BD035C"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Pr="00BD035C">
              <w:rPr>
                <w:rFonts w:cstheme="minorHAnsi"/>
                <w:b/>
                <w:sz w:val="18"/>
                <w:szCs w:val="18"/>
                <w:lang w:val="en-US"/>
              </w:rPr>
              <w:t>ermits</w:t>
            </w:r>
          </w:p>
        </w:tc>
      </w:tr>
      <w:tr w:rsidR="00341277" w:rsidRPr="006E1685" w:rsidTr="00341277">
        <w:tc>
          <w:tcPr>
            <w:tcW w:w="2874" w:type="dxa"/>
            <w:vMerge/>
            <w:shd w:val="clear" w:color="auto" w:fill="D9D9D9" w:themeFill="background1" w:themeFillShade="D9"/>
          </w:tcPr>
          <w:p w:rsidR="00341277" w:rsidRDefault="00341277" w:rsidP="00341277">
            <w:pPr>
              <w:spacing w:before="60" w:after="60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One dwelling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3 permits</w:t>
            </w:r>
          </w:p>
        </w:tc>
      </w:tr>
      <w:tr w:rsidR="00341277" w:rsidRPr="006E1685" w:rsidTr="00341277">
        <w:tc>
          <w:tcPr>
            <w:tcW w:w="2874" w:type="dxa"/>
            <w:vMerge/>
            <w:shd w:val="clear" w:color="auto" w:fill="D9D9D9" w:themeFill="background1" w:themeFillShade="D9"/>
          </w:tcPr>
          <w:p w:rsidR="00341277" w:rsidRDefault="00341277" w:rsidP="00341277">
            <w:pPr>
              <w:spacing w:before="60" w:after="60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Two to three dwellings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2 permits per dwelling</w:t>
            </w:r>
          </w:p>
        </w:tc>
      </w:tr>
      <w:tr w:rsidR="00341277" w:rsidRPr="006E1685" w:rsidTr="00341277">
        <w:tc>
          <w:tcPr>
            <w:tcW w:w="2874" w:type="dxa"/>
            <w:vMerge/>
            <w:shd w:val="clear" w:color="auto" w:fill="D9D9D9" w:themeFill="background1" w:themeFillShade="D9"/>
          </w:tcPr>
          <w:p w:rsidR="00341277" w:rsidRDefault="00341277" w:rsidP="00341277">
            <w:pPr>
              <w:spacing w:before="60" w:after="60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Four to fifteen dwellings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1 permit per dwelling</w:t>
            </w:r>
          </w:p>
        </w:tc>
      </w:tr>
      <w:tr w:rsidR="00341277" w:rsidRPr="006E1685" w:rsidTr="00341277">
        <w:tc>
          <w:tcPr>
            <w:tcW w:w="28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277" w:rsidRDefault="00341277" w:rsidP="00341277">
            <w:pPr>
              <w:spacing w:before="60" w:after="60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More than 15 dwellings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41277" w:rsidRPr="00BD035C" w:rsidRDefault="00341277" w:rsidP="00341277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D035C">
              <w:rPr>
                <w:rFonts w:cstheme="minorHAnsi"/>
                <w:sz w:val="18"/>
                <w:szCs w:val="18"/>
                <w:lang w:val="en-US"/>
              </w:rPr>
              <w:t>No permits</w:t>
            </w:r>
            <w:r w:rsidR="00BD035C">
              <w:rPr>
                <w:rFonts w:cstheme="minorHAnsi"/>
                <w:sz w:val="18"/>
                <w:szCs w:val="18"/>
                <w:lang w:val="en-US"/>
              </w:rPr>
              <w:t xml:space="preserve"> allocated</w:t>
            </w:r>
          </w:p>
        </w:tc>
      </w:tr>
    </w:tbl>
    <w:tbl>
      <w:tblPr>
        <w:tblStyle w:val="TableGrid"/>
        <w:tblpPr w:leftFromText="180" w:rightFromText="180" w:vertAnchor="text" w:tblpX="-185" w:tblpY="1"/>
        <w:tblOverlap w:val="never"/>
        <w:tblW w:w="1043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00"/>
        <w:gridCol w:w="1500"/>
        <w:gridCol w:w="1500"/>
        <w:gridCol w:w="1500"/>
        <w:gridCol w:w="1500"/>
        <w:gridCol w:w="1500"/>
      </w:tblGrid>
      <w:tr w:rsidR="00CA2481" w:rsidRPr="00916BD7" w:rsidTr="002D79BC">
        <w:trPr>
          <w:trHeight w:val="416"/>
        </w:trPr>
        <w:tc>
          <w:tcPr>
            <w:tcW w:w="10435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481" w:rsidRPr="00D56B1B" w:rsidRDefault="00DB4C25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and </w:t>
            </w:r>
            <w:r w:rsidR="00CA2481"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Cost of Permit</w:t>
            </w:r>
            <w:r w:rsidR="00BD035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D035C" w:rsidRPr="00B81B05" w:rsidTr="008364C7">
        <w:trPr>
          <w:trHeight w:val="28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35C" w:rsidRPr="00BD035C" w:rsidRDefault="00BD035C" w:rsidP="00BD035C">
            <w:pPr>
              <w:ind w:right="7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35C" w:rsidRPr="00BD035C" w:rsidRDefault="00BD035C" w:rsidP="00BD035C">
            <w:pPr>
              <w:ind w:right="7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035C">
              <w:rPr>
                <w:rFonts w:cstheme="minorHAnsi"/>
                <w:b/>
                <w:bCs/>
                <w:sz w:val="18"/>
                <w:szCs w:val="18"/>
              </w:rPr>
              <w:t>Permit 1</w:t>
            </w:r>
            <w:r w:rsidR="006E21C0">
              <w:rPr>
                <w:rFonts w:cstheme="minorHAnsi"/>
                <w:b/>
                <w:bCs/>
                <w:sz w:val="18"/>
                <w:szCs w:val="18"/>
              </w:rPr>
              <w:t xml:space="preserve"> ($14.00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35C" w:rsidRPr="00BD035C" w:rsidRDefault="00BD035C" w:rsidP="00BD035C">
            <w:pPr>
              <w:ind w:right="7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035C">
              <w:rPr>
                <w:rFonts w:cstheme="minorHAnsi"/>
                <w:b/>
                <w:bCs/>
                <w:sz w:val="18"/>
                <w:szCs w:val="18"/>
              </w:rPr>
              <w:t>Permit 2</w:t>
            </w:r>
            <w:r w:rsidR="00C672BC">
              <w:rPr>
                <w:rFonts w:cstheme="minorHAnsi"/>
                <w:b/>
                <w:bCs/>
                <w:sz w:val="18"/>
                <w:szCs w:val="18"/>
              </w:rPr>
              <w:t xml:space="preserve"> ($76</w:t>
            </w:r>
            <w:r w:rsidR="00CC760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35C" w:rsidRPr="00BD035C" w:rsidRDefault="00BD035C" w:rsidP="00CC7608">
            <w:pPr>
              <w:ind w:right="7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035C">
              <w:rPr>
                <w:rFonts w:cstheme="minorHAnsi"/>
                <w:b/>
                <w:bCs/>
                <w:sz w:val="18"/>
                <w:szCs w:val="18"/>
              </w:rPr>
              <w:t>Permit 3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($</w:t>
            </w:r>
            <w:r w:rsidR="00C672BC">
              <w:rPr>
                <w:rFonts w:cstheme="minorHAnsi"/>
                <w:b/>
                <w:sz w:val="18"/>
                <w:szCs w:val="18"/>
                <w:lang w:val="en-US"/>
              </w:rPr>
              <w:t>194</w:t>
            </w:r>
            <w:r w:rsidR="00CC7608">
              <w:rPr>
                <w:rFonts w:cstheme="minorHAnsi"/>
                <w:b/>
                <w:sz w:val="18"/>
                <w:szCs w:val="18"/>
                <w:lang w:val="en-US"/>
              </w:rPr>
              <w:t>.00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8364C7" w:rsidRPr="00B81B05" w:rsidTr="008364C7">
        <w:trPr>
          <w:trHeight w:val="35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 w:rsidRPr="00BD035C">
              <w:rPr>
                <w:rFonts w:cstheme="minorHAnsi"/>
                <w:bCs/>
                <w:sz w:val="18"/>
                <w:szCs w:val="18"/>
              </w:rPr>
              <w:t>Vehicle Details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Adhesive Permit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Visitor Permit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Adhesive Permit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Visitor Permit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Adhesive Permit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4C7" w:rsidRPr="00BD035C" w:rsidRDefault="008364C7" w:rsidP="008364C7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Visitor Permit</w:t>
            </w:r>
          </w:p>
        </w:tc>
      </w:tr>
      <w:tr w:rsidR="00DB4C25" w:rsidRPr="00B81B05" w:rsidTr="008364C7">
        <w:trPr>
          <w:trHeight w:val="34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Registration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4C25" w:rsidRPr="00B81B05" w:rsidTr="008364C7">
        <w:trPr>
          <w:trHeight w:val="35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Car Make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4C25" w:rsidRPr="00B81B05" w:rsidTr="008364C7">
        <w:trPr>
          <w:trHeight w:val="344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Car Model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4C25" w:rsidRPr="00B81B05" w:rsidTr="008364C7">
        <w:trPr>
          <w:trHeight w:val="364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TOTAL COST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25" w:rsidRPr="00BD035C" w:rsidRDefault="00DB4C25" w:rsidP="00DB4C25">
            <w:pPr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C2355E" w:rsidRDefault="00C2355E" w:rsidP="007A7C6C">
      <w:pPr>
        <w:spacing w:after="0" w:line="240" w:lineRule="auto"/>
        <w:ind w:right="389" w:hanging="142"/>
        <w:rPr>
          <w:noProof/>
          <w:lang w:eastAsia="en-AU"/>
        </w:rPr>
      </w:pPr>
    </w:p>
    <w:p w:rsidR="007A7C6C" w:rsidRDefault="007A7C6C" w:rsidP="007A7C6C">
      <w:pPr>
        <w:spacing w:after="0" w:line="240" w:lineRule="auto"/>
        <w:ind w:left="-142" w:right="389"/>
        <w:rPr>
          <w:rFonts w:cstheme="minorHAnsi"/>
          <w:bCs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28F880E2" wp14:editId="7B48489D">
            <wp:extent cx="6615953" cy="161120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3711" cy="161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81" w:rsidRPr="002F3C72" w:rsidRDefault="009871DD" w:rsidP="00990540">
      <w:pPr>
        <w:spacing w:before="60" w:after="60" w:line="240" w:lineRule="auto"/>
        <w:ind w:left="-142" w:right="-39"/>
        <w:rPr>
          <w:rFonts w:ascii="Arial" w:hAnsi="Arial" w:cs="Arial"/>
          <w:bCs/>
          <w:sz w:val="18"/>
          <w:szCs w:val="18"/>
        </w:rPr>
      </w:pPr>
      <w:r w:rsidRPr="002F3C72">
        <w:rPr>
          <w:rFonts w:ascii="Arial" w:hAnsi="Arial" w:cs="Arial"/>
          <w:b/>
          <w:bCs/>
          <w:sz w:val="18"/>
          <w:szCs w:val="18"/>
        </w:rPr>
        <w:t>Signature:</w:t>
      </w:r>
      <w:r w:rsidRPr="002F3C72">
        <w:rPr>
          <w:rFonts w:ascii="Arial" w:hAnsi="Arial" w:cs="Arial"/>
          <w:bCs/>
          <w:sz w:val="18"/>
          <w:szCs w:val="18"/>
        </w:rPr>
        <w:t xml:space="preserve"> ________________________________________</w:t>
      </w:r>
      <w:r w:rsidRPr="002F3C72">
        <w:rPr>
          <w:rFonts w:ascii="Arial" w:hAnsi="Arial" w:cs="Arial"/>
          <w:bCs/>
          <w:sz w:val="18"/>
          <w:szCs w:val="18"/>
        </w:rPr>
        <w:tab/>
      </w:r>
      <w:r w:rsidRPr="002F3C72">
        <w:rPr>
          <w:rFonts w:ascii="Arial" w:hAnsi="Arial" w:cs="Arial"/>
          <w:bCs/>
          <w:sz w:val="18"/>
          <w:szCs w:val="18"/>
        </w:rPr>
        <w:tab/>
      </w:r>
      <w:r w:rsidRPr="002F3C72">
        <w:rPr>
          <w:rFonts w:ascii="Arial" w:hAnsi="Arial" w:cs="Arial"/>
          <w:b/>
          <w:bCs/>
          <w:sz w:val="18"/>
          <w:szCs w:val="18"/>
        </w:rPr>
        <w:t>Date:</w:t>
      </w:r>
      <w:r w:rsidRPr="002F3C72">
        <w:rPr>
          <w:rFonts w:ascii="Arial" w:hAnsi="Arial" w:cs="Arial"/>
          <w:bCs/>
          <w:sz w:val="18"/>
          <w:szCs w:val="18"/>
        </w:rPr>
        <w:t xml:space="preserve"> ________________</w:t>
      </w:r>
      <w:r w:rsidR="002F3C72">
        <w:rPr>
          <w:rFonts w:ascii="Arial" w:hAnsi="Arial" w:cs="Arial"/>
          <w:bCs/>
          <w:sz w:val="18"/>
          <w:szCs w:val="18"/>
        </w:rPr>
        <w:t>______</w:t>
      </w:r>
      <w:r w:rsidR="00990540">
        <w:rPr>
          <w:rFonts w:ascii="Arial" w:hAnsi="Arial" w:cs="Arial"/>
          <w:bCs/>
          <w:sz w:val="18"/>
          <w:szCs w:val="18"/>
        </w:rPr>
        <w:t>___________</w:t>
      </w:r>
      <w:r w:rsidR="002F3C72">
        <w:rPr>
          <w:rFonts w:ascii="Arial" w:hAnsi="Arial" w:cs="Arial"/>
          <w:bCs/>
          <w:sz w:val="18"/>
          <w:szCs w:val="18"/>
        </w:rPr>
        <w:t>_____</w:t>
      </w:r>
      <w:r w:rsidRPr="002F3C72">
        <w:rPr>
          <w:rFonts w:ascii="Arial" w:hAnsi="Arial" w:cs="Arial"/>
          <w:bCs/>
          <w:sz w:val="18"/>
          <w:szCs w:val="18"/>
        </w:rPr>
        <w:t>_</w:t>
      </w:r>
    </w:p>
    <w:p w:rsidR="0055078B" w:rsidRDefault="00990540" w:rsidP="00990540">
      <w:pPr>
        <w:spacing w:after="0" w:line="240" w:lineRule="auto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personal information on this form </w:t>
      </w:r>
      <w:proofErr w:type="gramStart"/>
      <w:r>
        <w:rPr>
          <w:sz w:val="18"/>
          <w:szCs w:val="18"/>
        </w:rPr>
        <w:t>is being collected</w:t>
      </w:r>
      <w:proofErr w:type="gramEnd"/>
      <w:r>
        <w:rPr>
          <w:sz w:val="18"/>
          <w:szCs w:val="18"/>
        </w:rPr>
        <w:t xml:space="preserve"> by Council to enable the processing of this application and for the purpose of administration of relevant Acts, Regulations and Local Laws. </w:t>
      </w:r>
      <w:proofErr w:type="gramStart"/>
      <w:r>
        <w:rPr>
          <w:sz w:val="18"/>
          <w:szCs w:val="18"/>
        </w:rPr>
        <w:t>The personal information will be used by Council</w:t>
      </w:r>
      <w:proofErr w:type="gramEnd"/>
      <w:r>
        <w:rPr>
          <w:sz w:val="18"/>
          <w:szCs w:val="18"/>
        </w:rPr>
        <w:t xml:space="preserve"> for that primary purpose or directly related purposes only. The information </w:t>
      </w:r>
      <w:proofErr w:type="gramStart"/>
      <w:r>
        <w:rPr>
          <w:sz w:val="18"/>
          <w:szCs w:val="18"/>
        </w:rPr>
        <w:t>will not be released</w:t>
      </w:r>
      <w:proofErr w:type="gramEnd"/>
      <w:r>
        <w:rPr>
          <w:sz w:val="18"/>
          <w:szCs w:val="18"/>
        </w:rPr>
        <w:t xml:space="preserve"> unless required by law. The applicant may apply to Council for access and/or amendments of the information.</w:t>
      </w:r>
    </w:p>
    <w:p w:rsidR="0055078B" w:rsidRDefault="0055078B" w:rsidP="00990540">
      <w:pPr>
        <w:spacing w:after="0" w:line="240" w:lineRule="auto"/>
        <w:ind w:left="-142"/>
        <w:jc w:val="both"/>
        <w:rPr>
          <w:sz w:val="18"/>
          <w:szCs w:val="18"/>
        </w:rPr>
        <w:sectPr w:rsidR="0055078B" w:rsidSect="00F7022B">
          <w:headerReference w:type="default" r:id="rId10"/>
          <w:footerReference w:type="default" r:id="rId11"/>
          <w:pgSz w:w="11906" w:h="16838"/>
          <w:pgMar w:top="1440" w:right="746" w:bottom="426" w:left="993" w:header="284" w:footer="272" w:gutter="0"/>
          <w:cols w:space="708"/>
          <w:docGrid w:linePitch="360"/>
        </w:sect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874"/>
        <w:gridCol w:w="7566"/>
      </w:tblGrid>
      <w:tr w:rsidR="006105F2" w:rsidRPr="006E1685" w:rsidTr="002D79BC">
        <w:tc>
          <w:tcPr>
            <w:tcW w:w="2874" w:type="dxa"/>
            <w:shd w:val="clear" w:color="auto" w:fill="D9D9D9" w:themeFill="background1" w:themeFillShade="D9"/>
          </w:tcPr>
          <w:p w:rsidR="006105F2" w:rsidRPr="00D56B1B" w:rsidRDefault="006105F2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Permit Conditions</w:t>
            </w:r>
          </w:p>
        </w:tc>
        <w:tc>
          <w:tcPr>
            <w:tcW w:w="7566" w:type="dxa"/>
          </w:tcPr>
          <w:p w:rsidR="00657288" w:rsidRPr="00990540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The permit fee must be paid before use</w:t>
            </w:r>
          </w:p>
          <w:p w:rsidR="00657288" w:rsidRPr="00964C72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64C72">
              <w:rPr>
                <w:rFonts w:cstheme="minorHAnsi"/>
                <w:sz w:val="18"/>
                <w:szCs w:val="18"/>
              </w:rPr>
              <w:t xml:space="preserve">The applicant must supply </w:t>
            </w:r>
            <w:r>
              <w:rPr>
                <w:rFonts w:cstheme="minorHAnsi"/>
                <w:sz w:val="18"/>
                <w:szCs w:val="18"/>
              </w:rPr>
              <w:t xml:space="preserve">valid </w:t>
            </w:r>
            <w:r w:rsidRPr="00964C72">
              <w:rPr>
                <w:rFonts w:cstheme="minorHAnsi"/>
                <w:sz w:val="18"/>
                <w:szCs w:val="18"/>
              </w:rPr>
              <w:t>copies of the required documentation</w:t>
            </w:r>
          </w:p>
          <w:p w:rsidR="00657288" w:rsidRPr="00990540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The permit is only valid at the nominated site location stated on the permit</w:t>
            </w:r>
          </w:p>
          <w:p w:rsidR="00657288" w:rsidRPr="00990540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The permit is only valid for</w:t>
            </w:r>
            <w:r>
              <w:rPr>
                <w:rFonts w:cstheme="minorHAnsi"/>
                <w:sz w:val="18"/>
                <w:szCs w:val="18"/>
              </w:rPr>
              <w:t xml:space="preserve"> 12 months</w:t>
            </w:r>
          </w:p>
          <w:p w:rsidR="00657288" w:rsidRPr="00990540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The permit is not transferrable:</w:t>
            </w:r>
          </w:p>
          <w:p w:rsidR="00657288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976505">
              <w:rPr>
                <w:rFonts w:cstheme="minorHAnsi"/>
                <w:sz w:val="18"/>
                <w:szCs w:val="18"/>
              </w:rPr>
              <w:t xml:space="preserve">Permits are not to be leased, sold or given away </w:t>
            </w:r>
          </w:p>
          <w:p w:rsidR="00657288" w:rsidRPr="00976505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976505">
              <w:rPr>
                <w:rFonts w:cstheme="minorHAnsi"/>
                <w:sz w:val="18"/>
                <w:szCs w:val="18"/>
              </w:rPr>
              <w:t>No form of advertising of a permit for rent, lease, sale profit or other beneficial or fraudulent consideration of causing such an advertisement to be published is permitted</w:t>
            </w:r>
          </w:p>
          <w:p w:rsidR="00657288" w:rsidRPr="00990540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At the conclusion of the permit period a new application form must be submitted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The permit must be securely displayed so all details remain clearly visible through the passenger side of the front windscreen throughout the duration of parking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Permit holders must comply with Victorian Road Rules at all times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Permits are not valid</w:t>
            </w:r>
            <w:r>
              <w:rPr>
                <w:rFonts w:cstheme="minorHAnsi"/>
                <w:sz w:val="18"/>
                <w:szCs w:val="18"/>
              </w:rPr>
              <w:t xml:space="preserve"> in</w:t>
            </w:r>
            <w:r w:rsidRPr="006536CC">
              <w:rPr>
                <w:rFonts w:cstheme="minorHAnsi"/>
                <w:sz w:val="18"/>
                <w:szCs w:val="18"/>
              </w:rPr>
              <w:t>:</w:t>
            </w:r>
          </w:p>
          <w:p w:rsidR="00657288" w:rsidRPr="006536CC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Areas marked as no parking or no stopping including clearways during restriction times</w:t>
            </w:r>
          </w:p>
          <w:p w:rsidR="00657288" w:rsidRPr="006536CC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Permit restricted parking areas such as disabled persons’ parking areas, bus stops, taxi ranks, loading zones and construction zones</w:t>
            </w:r>
          </w:p>
          <w:p w:rsidR="00657288" w:rsidRPr="006536CC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 xml:space="preserve">Parking restriction areas of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6536CC">
              <w:rPr>
                <w:rFonts w:cstheme="minorHAnsi"/>
                <w:sz w:val="18"/>
                <w:szCs w:val="18"/>
              </w:rPr>
              <w:t xml:space="preserve"> minutes or less</w:t>
            </w:r>
          </w:p>
          <w:p w:rsidR="00657288" w:rsidRPr="006536CC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Prohibited areas such as across driveways, centre reservations, nature strips and footways</w:t>
            </w:r>
          </w:p>
          <w:p w:rsidR="00657288" w:rsidRPr="006536CC" w:rsidRDefault="00657288" w:rsidP="00657288">
            <w:pPr>
              <w:pStyle w:val="ListParagraph"/>
              <w:numPr>
                <w:ilvl w:val="1"/>
                <w:numId w:val="11"/>
              </w:numPr>
              <w:ind w:left="79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In front of commercial, industrial or mixed-use areas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A parking permit for a specific vehicle cannot be used in another vehicle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Permits are not to be photocopied and the copies used in other vehicles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The permit can only be used by vehicles that do not exceed 7.5 meters in length or 4.5 tonnes in gross weight</w:t>
            </w:r>
          </w:p>
          <w:p w:rsidR="00657288" w:rsidRPr="006536CC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6536CC">
              <w:rPr>
                <w:rFonts w:cstheme="minorHAnsi"/>
                <w:sz w:val="18"/>
                <w:szCs w:val="18"/>
              </w:rPr>
              <w:t>Permits cannot be used for motor homes, caravans, boats or earthmoving machinery/equipment</w:t>
            </w:r>
            <w:r w:rsidR="00C85A54">
              <w:rPr>
                <w:rFonts w:cstheme="minorHAnsi"/>
                <w:sz w:val="18"/>
                <w:szCs w:val="18"/>
              </w:rPr>
              <w:t xml:space="preserve"> or vehicles with a payload of 1,500kg or more</w:t>
            </w:r>
          </w:p>
          <w:p w:rsidR="00657288" w:rsidRPr="00976505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76505">
              <w:rPr>
                <w:rFonts w:cstheme="minorHAnsi"/>
                <w:sz w:val="18"/>
                <w:szCs w:val="18"/>
              </w:rPr>
              <w:t>The issue of a permit does not guarantee the availability of a parking space</w:t>
            </w:r>
          </w:p>
          <w:p w:rsidR="00564852" w:rsidRPr="00564852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 xml:space="preserve">The permit </w:t>
            </w:r>
            <w:proofErr w:type="gramStart"/>
            <w:r w:rsidRPr="00990540">
              <w:rPr>
                <w:rFonts w:cstheme="minorHAnsi"/>
                <w:sz w:val="18"/>
                <w:szCs w:val="18"/>
              </w:rPr>
              <w:t>may be suspended</w:t>
            </w:r>
            <w:proofErr w:type="gramEnd"/>
            <w:r w:rsidRPr="00990540">
              <w:rPr>
                <w:rFonts w:cstheme="minorHAnsi"/>
                <w:sz w:val="18"/>
                <w:szCs w:val="18"/>
              </w:rPr>
              <w:t xml:space="preserve"> by a member of Victoria Police or by an authorised Council Officer for any reason at any time. No permit fee will be refunded</w:t>
            </w:r>
          </w:p>
        </w:tc>
      </w:tr>
      <w:tr w:rsidR="00C314BA" w:rsidRPr="006E1685" w:rsidTr="002D79BC">
        <w:tc>
          <w:tcPr>
            <w:tcW w:w="2874" w:type="dxa"/>
            <w:shd w:val="clear" w:color="auto" w:fill="D9D9D9" w:themeFill="background1" w:themeFillShade="D9"/>
          </w:tcPr>
          <w:p w:rsidR="00C314BA" w:rsidRPr="00D56B1B" w:rsidRDefault="00C314BA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Breach of Permit Conditions</w:t>
            </w:r>
          </w:p>
        </w:tc>
        <w:tc>
          <w:tcPr>
            <w:tcW w:w="7566" w:type="dxa"/>
          </w:tcPr>
          <w:p w:rsidR="00F45069" w:rsidRPr="00990540" w:rsidRDefault="00F45069" w:rsidP="002467A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The permit may be cancelled</w:t>
            </w:r>
          </w:p>
          <w:p w:rsidR="00C314BA" w:rsidRPr="00990540" w:rsidRDefault="00590DC1" w:rsidP="002467A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Fines may be issued</w:t>
            </w:r>
          </w:p>
          <w:p w:rsidR="00590DC1" w:rsidRPr="00990540" w:rsidRDefault="00590DC1" w:rsidP="002467A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Costs incurred by Council may be charged directly to the permit holder</w:t>
            </w:r>
          </w:p>
          <w:p w:rsidR="00590DC1" w:rsidRPr="00990540" w:rsidRDefault="00590DC1" w:rsidP="002467A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Goods or equipment may be impounded</w:t>
            </w:r>
          </w:p>
          <w:p w:rsidR="00590DC1" w:rsidRPr="00990540" w:rsidRDefault="00590DC1" w:rsidP="002467A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>Future permit applications may be declined</w:t>
            </w:r>
          </w:p>
          <w:p w:rsidR="000D04E0" w:rsidRPr="00990540" w:rsidRDefault="000D04E0" w:rsidP="002467A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990540">
              <w:rPr>
                <w:rFonts w:cstheme="minorHAnsi"/>
                <w:sz w:val="18"/>
                <w:szCs w:val="18"/>
              </w:rPr>
              <w:t xml:space="preserve">No refunds </w:t>
            </w:r>
            <w:proofErr w:type="gramStart"/>
            <w:r w:rsidRPr="00990540">
              <w:rPr>
                <w:rFonts w:cstheme="minorHAnsi"/>
                <w:sz w:val="18"/>
                <w:szCs w:val="18"/>
              </w:rPr>
              <w:t>will be given</w:t>
            </w:r>
            <w:proofErr w:type="gramEnd"/>
            <w:r w:rsidRPr="00990540">
              <w:rPr>
                <w:rFonts w:cstheme="minorHAnsi"/>
                <w:sz w:val="18"/>
                <w:szCs w:val="18"/>
              </w:rPr>
              <w:t xml:space="preserve"> where a permit is cancelled due to breach of its conditions.</w:t>
            </w:r>
          </w:p>
        </w:tc>
      </w:tr>
      <w:tr w:rsidR="000F4CE6" w:rsidRPr="006E1685" w:rsidTr="002D79BC">
        <w:tc>
          <w:tcPr>
            <w:tcW w:w="2874" w:type="dxa"/>
            <w:shd w:val="clear" w:color="auto" w:fill="D9D9D9" w:themeFill="background1" w:themeFillShade="D9"/>
          </w:tcPr>
          <w:p w:rsidR="000F4CE6" w:rsidRPr="00D56B1B" w:rsidRDefault="00C314BA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Council Considerations</w:t>
            </w:r>
          </w:p>
        </w:tc>
        <w:tc>
          <w:tcPr>
            <w:tcW w:w="7566" w:type="dxa"/>
          </w:tcPr>
          <w:p w:rsidR="00A912C1" w:rsidRPr="00EC4F26" w:rsidRDefault="00A912C1" w:rsidP="002467A8">
            <w:pPr>
              <w:rPr>
                <w:rFonts w:cstheme="minorHAnsi"/>
                <w:sz w:val="18"/>
                <w:szCs w:val="18"/>
              </w:rPr>
            </w:pPr>
            <w:r w:rsidRPr="00EC4F26">
              <w:rPr>
                <w:rFonts w:cstheme="minorHAnsi"/>
                <w:sz w:val="18"/>
                <w:szCs w:val="18"/>
              </w:rPr>
              <w:t>In deciding whether to grant a permit the Council will take into consideration:</w:t>
            </w:r>
          </w:p>
          <w:p w:rsidR="00A912C1" w:rsidRPr="00EC4F26" w:rsidRDefault="00A912C1" w:rsidP="002467A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theme="minorHAnsi"/>
                <w:sz w:val="18"/>
                <w:szCs w:val="18"/>
              </w:rPr>
            </w:pPr>
            <w:r w:rsidRPr="00EC4F26">
              <w:rPr>
                <w:rFonts w:cstheme="minorHAnsi"/>
                <w:sz w:val="18"/>
                <w:szCs w:val="18"/>
              </w:rPr>
              <w:t>Details supplied by the permit applicant</w:t>
            </w:r>
          </w:p>
          <w:p w:rsidR="00A912C1" w:rsidRPr="00EC4F26" w:rsidRDefault="00A912C1" w:rsidP="002467A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theme="minorHAnsi"/>
                <w:sz w:val="18"/>
                <w:szCs w:val="18"/>
              </w:rPr>
            </w:pPr>
            <w:r w:rsidRPr="00EC4F26">
              <w:rPr>
                <w:rFonts w:cstheme="minorHAnsi"/>
                <w:sz w:val="18"/>
                <w:szCs w:val="18"/>
              </w:rPr>
              <w:t>The suitability of the supporting documentation for this application</w:t>
            </w:r>
          </w:p>
          <w:p w:rsidR="00A912C1" w:rsidRDefault="00A912C1" w:rsidP="002467A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applicant’s record in applying for similar permits and adherence to permit conditions</w:t>
            </w:r>
          </w:p>
          <w:p w:rsidR="00A912C1" w:rsidRPr="00EC4F26" w:rsidRDefault="00A912C1" w:rsidP="002467A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theme="minorHAnsi"/>
                <w:sz w:val="18"/>
                <w:szCs w:val="18"/>
              </w:rPr>
            </w:pPr>
            <w:r w:rsidRPr="00EC4F26">
              <w:rPr>
                <w:rFonts w:cstheme="minorHAnsi"/>
                <w:sz w:val="18"/>
                <w:szCs w:val="18"/>
              </w:rPr>
              <w:t>The effect on the quiet enjoyment of other users of the municipal place or road and the amenity of the area</w:t>
            </w:r>
          </w:p>
          <w:p w:rsidR="000F4CE6" w:rsidRPr="00A912C1" w:rsidRDefault="00A912C1" w:rsidP="002467A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theme="minorHAnsi"/>
                <w:sz w:val="18"/>
                <w:szCs w:val="18"/>
              </w:rPr>
            </w:pPr>
            <w:r w:rsidRPr="00EC4F26">
              <w:rPr>
                <w:rFonts w:cstheme="minorHAnsi"/>
                <w:sz w:val="18"/>
                <w:szCs w:val="18"/>
              </w:rPr>
              <w:t>Whether any undue obstruction will be caused to pede</w:t>
            </w:r>
            <w:bookmarkStart w:id="0" w:name="_GoBack"/>
            <w:bookmarkEnd w:id="0"/>
            <w:r w:rsidRPr="00EC4F26">
              <w:rPr>
                <w:rFonts w:cstheme="minorHAnsi"/>
                <w:sz w:val="18"/>
                <w:szCs w:val="18"/>
              </w:rPr>
              <w:t>strians or vehicle traffic in the area specified</w:t>
            </w:r>
          </w:p>
        </w:tc>
      </w:tr>
      <w:tr w:rsidR="00FD5857" w:rsidRPr="006E1685" w:rsidTr="002D79BC">
        <w:tc>
          <w:tcPr>
            <w:tcW w:w="2874" w:type="dxa"/>
            <w:shd w:val="clear" w:color="auto" w:fill="D9D9D9" w:themeFill="background1" w:themeFillShade="D9"/>
          </w:tcPr>
          <w:p w:rsidR="00FD5857" w:rsidRPr="00D56B1B" w:rsidRDefault="00FD5857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How to submit your application?</w:t>
            </w:r>
          </w:p>
        </w:tc>
        <w:tc>
          <w:tcPr>
            <w:tcW w:w="7566" w:type="dxa"/>
          </w:tcPr>
          <w:p w:rsidR="00657288" w:rsidRPr="00537D9A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537D9A">
              <w:rPr>
                <w:rFonts w:cstheme="minorHAnsi"/>
                <w:sz w:val="18"/>
                <w:szCs w:val="18"/>
              </w:rPr>
              <w:t>Via email by sending to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37D9A">
              <w:rPr>
                <w:rFonts w:cstheme="minorHAnsi"/>
                <w:sz w:val="18"/>
                <w:szCs w:val="18"/>
              </w:rPr>
              <w:t xml:space="preserve"> </w:t>
            </w:r>
            <w:hyperlink r:id="rId12" w:history="1">
              <w:r w:rsidRPr="00FA4C76">
                <w:rPr>
                  <w:rStyle w:val="Hyperlink"/>
                  <w:rFonts w:cstheme="minorHAnsi"/>
                  <w:sz w:val="18"/>
                  <w:szCs w:val="18"/>
                </w:rPr>
                <w:t>customer.service@whitehorse.vic.gov.au</w:t>
              </w:r>
            </w:hyperlink>
          </w:p>
          <w:p w:rsidR="00657288" w:rsidRPr="00537D9A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537D9A">
              <w:rPr>
                <w:rFonts w:cstheme="minorHAnsi"/>
                <w:sz w:val="18"/>
                <w:szCs w:val="18"/>
              </w:rPr>
              <w:t xml:space="preserve">Via </w:t>
            </w:r>
            <w:r>
              <w:rPr>
                <w:rFonts w:cstheme="minorHAnsi"/>
                <w:sz w:val="18"/>
                <w:szCs w:val="18"/>
              </w:rPr>
              <w:t>mail</w:t>
            </w:r>
            <w:r w:rsidRPr="00537D9A">
              <w:rPr>
                <w:rFonts w:cstheme="minorHAnsi"/>
                <w:sz w:val="18"/>
                <w:szCs w:val="18"/>
              </w:rPr>
              <w:t xml:space="preserve"> by sending to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:rsidR="00657288" w:rsidRPr="00537D9A" w:rsidRDefault="00657288" w:rsidP="00657288">
            <w:pPr>
              <w:ind w:left="438" w:hanging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Community Laws, Whitehorse City Council, </w:t>
            </w:r>
            <w:r w:rsidRPr="00537D9A">
              <w:rPr>
                <w:rFonts w:cstheme="minorHAnsi"/>
                <w:sz w:val="18"/>
                <w:szCs w:val="18"/>
              </w:rPr>
              <w:t>Locked Bag 2, Nunawading Delivery Centre, VIC 3110</w:t>
            </w:r>
          </w:p>
          <w:p w:rsidR="00FD5857" w:rsidRPr="00537D9A" w:rsidRDefault="00657288" w:rsidP="00657288">
            <w:pPr>
              <w:pStyle w:val="ListParagraph"/>
              <w:numPr>
                <w:ilvl w:val="0"/>
                <w:numId w:val="11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537D9A">
              <w:rPr>
                <w:rFonts w:cstheme="minorHAnsi"/>
                <w:sz w:val="18"/>
                <w:szCs w:val="18"/>
              </w:rPr>
              <w:t xml:space="preserve">In person at one of the </w:t>
            </w:r>
            <w:r>
              <w:rPr>
                <w:rFonts w:cstheme="minorHAnsi"/>
                <w:sz w:val="18"/>
                <w:szCs w:val="18"/>
              </w:rPr>
              <w:t xml:space="preserve">Whitehorse City Council </w:t>
            </w:r>
            <w:r w:rsidRPr="00537D9A">
              <w:rPr>
                <w:rFonts w:cstheme="minorHAnsi"/>
                <w:sz w:val="18"/>
                <w:szCs w:val="18"/>
              </w:rPr>
              <w:t>Customer Service Centres</w:t>
            </w:r>
            <w:r>
              <w:rPr>
                <w:rFonts w:cstheme="minorHAnsi"/>
                <w:sz w:val="18"/>
                <w:szCs w:val="18"/>
              </w:rPr>
              <w:t xml:space="preserve"> (refer to Payment Options)</w:t>
            </w:r>
          </w:p>
        </w:tc>
      </w:tr>
      <w:tr w:rsidR="00FD5857" w:rsidRPr="006E1685" w:rsidTr="002D79BC">
        <w:tc>
          <w:tcPr>
            <w:tcW w:w="2874" w:type="dxa"/>
            <w:shd w:val="clear" w:color="auto" w:fill="D9D9D9" w:themeFill="background1" w:themeFillShade="D9"/>
          </w:tcPr>
          <w:p w:rsidR="00FD5857" w:rsidRPr="00D56B1B" w:rsidRDefault="00FD5857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long before you receive a </w:t>
            </w:r>
            <w:proofErr w:type="gramStart"/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response?</w:t>
            </w:r>
            <w:proofErr w:type="gramEnd"/>
          </w:p>
        </w:tc>
        <w:tc>
          <w:tcPr>
            <w:tcW w:w="7566" w:type="dxa"/>
          </w:tcPr>
          <w:p w:rsidR="00FD5857" w:rsidRPr="00537D9A" w:rsidRDefault="00CA2481" w:rsidP="002467A8">
            <w:pPr>
              <w:pStyle w:val="ListParagraph"/>
              <w:numPr>
                <w:ilvl w:val="0"/>
                <w:numId w:val="5"/>
              </w:numPr>
              <w:ind w:left="438"/>
              <w:rPr>
                <w:rFonts w:cstheme="minorHAnsi"/>
                <w:sz w:val="18"/>
                <w:szCs w:val="18"/>
              </w:rPr>
            </w:pPr>
            <w:r w:rsidRPr="00537D9A">
              <w:rPr>
                <w:rFonts w:cstheme="minorHAnsi"/>
                <w:sz w:val="18"/>
                <w:szCs w:val="18"/>
              </w:rPr>
              <w:t>Allow 10 business days</w:t>
            </w:r>
          </w:p>
          <w:p w:rsidR="00537D9A" w:rsidRPr="00537D9A" w:rsidRDefault="00537D9A" w:rsidP="002467A8">
            <w:pPr>
              <w:rPr>
                <w:rFonts w:cstheme="minorHAnsi"/>
                <w:sz w:val="18"/>
                <w:szCs w:val="18"/>
              </w:rPr>
            </w:pPr>
            <w:r w:rsidRPr="00537D9A">
              <w:rPr>
                <w:rFonts w:cstheme="minorHAnsi"/>
                <w:sz w:val="18"/>
                <w:szCs w:val="18"/>
              </w:rPr>
              <w:t xml:space="preserve">Note: The permit process </w:t>
            </w:r>
            <w:proofErr w:type="gramStart"/>
            <w:r w:rsidRPr="00537D9A">
              <w:rPr>
                <w:rFonts w:cstheme="minorHAnsi"/>
                <w:sz w:val="18"/>
                <w:szCs w:val="18"/>
              </w:rPr>
              <w:t>may be delayed</w:t>
            </w:r>
            <w:proofErr w:type="gramEnd"/>
            <w:r w:rsidRPr="00537D9A">
              <w:rPr>
                <w:rFonts w:cstheme="minorHAnsi"/>
                <w:sz w:val="18"/>
                <w:szCs w:val="18"/>
              </w:rPr>
              <w:t xml:space="preserve"> if the required documentation is not provided, is out of date or insufficient.</w:t>
            </w:r>
          </w:p>
        </w:tc>
      </w:tr>
      <w:tr w:rsidR="00FD5857" w:rsidRPr="006E1685" w:rsidTr="002D79BC">
        <w:tc>
          <w:tcPr>
            <w:tcW w:w="2874" w:type="dxa"/>
            <w:shd w:val="clear" w:color="auto" w:fill="D9D9D9" w:themeFill="background1" w:themeFillShade="D9"/>
          </w:tcPr>
          <w:p w:rsidR="00FD5857" w:rsidRPr="00D56B1B" w:rsidRDefault="00590DC1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Unsuccessful applications</w:t>
            </w:r>
          </w:p>
        </w:tc>
        <w:tc>
          <w:tcPr>
            <w:tcW w:w="7566" w:type="dxa"/>
          </w:tcPr>
          <w:p w:rsidR="00FD5857" w:rsidRPr="00E85012" w:rsidRDefault="008900CC" w:rsidP="002467A8">
            <w:pPr>
              <w:pStyle w:val="ListParagraph"/>
              <w:numPr>
                <w:ilvl w:val="0"/>
                <w:numId w:val="5"/>
              </w:numPr>
              <w:ind w:left="4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will be notified in writing and any permit application fee will be refunded</w:t>
            </w:r>
          </w:p>
        </w:tc>
      </w:tr>
      <w:tr w:rsidR="00FD5857" w:rsidRPr="006E1685" w:rsidTr="0087117A">
        <w:trPr>
          <w:trHeight w:val="1536"/>
        </w:trPr>
        <w:tc>
          <w:tcPr>
            <w:tcW w:w="2874" w:type="dxa"/>
            <w:shd w:val="clear" w:color="auto" w:fill="D9D9D9" w:themeFill="background1" w:themeFillShade="D9"/>
          </w:tcPr>
          <w:p w:rsidR="00590DC1" w:rsidRPr="00D56B1B" w:rsidRDefault="00FD5857" w:rsidP="00D56B1B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1B">
              <w:rPr>
                <w:rFonts w:ascii="Arial" w:hAnsi="Arial" w:cs="Arial"/>
                <w:b/>
                <w:bCs/>
                <w:sz w:val="20"/>
                <w:szCs w:val="20"/>
              </w:rPr>
              <w:t>Link to further information</w:t>
            </w:r>
          </w:p>
        </w:tc>
        <w:tc>
          <w:tcPr>
            <w:tcW w:w="7566" w:type="dxa"/>
          </w:tcPr>
          <w:p w:rsidR="00FD5857" w:rsidRPr="00A30B7C" w:rsidRDefault="0092235A" w:rsidP="00E85012">
            <w:pPr>
              <w:spacing w:before="60" w:after="60"/>
              <w:ind w:right="1872"/>
              <w:rPr>
                <w:rFonts w:cstheme="minorHAnsi"/>
                <w:sz w:val="18"/>
                <w:szCs w:val="18"/>
              </w:rPr>
            </w:pPr>
            <w:hyperlink r:id="rId13" w:history="1">
              <w:r w:rsidR="00E85012" w:rsidRPr="008F5052">
                <w:rPr>
                  <w:rStyle w:val="Hyperlink"/>
                  <w:sz w:val="18"/>
                  <w:szCs w:val="18"/>
                </w:rPr>
                <w:t>https://www.whitehorse.vic.gov.au/residential-parking-permits</w:t>
              </w:r>
            </w:hyperlink>
            <w:r w:rsidR="00E85012" w:rsidRPr="008F5052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6200ACA" wp14:editId="064AC306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9525</wp:posOffset>
                  </wp:positionV>
                  <wp:extent cx="960755" cy="96075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0986" y="20986"/>
                      <wp:lineTo x="20986" y="0"/>
                      <wp:lineTo x="0" y="0"/>
                    </wp:wrapPolygon>
                  </wp:wrapTight>
                  <wp:docPr id="2" name="Picture 2" descr="C:\Users\gast\Downloads\1c8bbc632e49891ce92c1aad1a4483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t\Downloads\1c8bbc632e49891ce92c1aad1a4483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4CE6" w:rsidRPr="005A0279" w:rsidRDefault="000F4CE6">
      <w:pPr>
        <w:rPr>
          <w:sz w:val="18"/>
          <w:szCs w:val="18"/>
        </w:rPr>
      </w:pPr>
    </w:p>
    <w:sectPr w:rsidR="000F4CE6" w:rsidRPr="005A0279" w:rsidSect="0055078B">
      <w:headerReference w:type="default" r:id="rId15"/>
      <w:pgSz w:w="11906" w:h="16838"/>
      <w:pgMar w:top="567" w:right="746" w:bottom="426" w:left="993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6C" w:rsidRDefault="00D94D11">
      <w:pPr>
        <w:spacing w:after="0" w:line="240" w:lineRule="auto"/>
      </w:pPr>
      <w:r>
        <w:separator/>
      </w:r>
    </w:p>
  </w:endnote>
  <w:endnote w:type="continuationSeparator" w:id="0">
    <w:p w:rsidR="00B2526C" w:rsidRDefault="00D9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81" w:rsidRDefault="004A6F81">
    <w:pPr>
      <w:pStyle w:val="Footer"/>
    </w:pPr>
    <w:r>
      <w:t>TRIM 20/317395</w:t>
    </w:r>
    <w:r w:rsidR="007A7C6C">
      <w:tab/>
    </w:r>
    <w:r w:rsidR="007A7C6C">
      <w:tab/>
      <w:t xml:space="preserve">Last Reviewed:  </w:t>
    </w:r>
    <w:r w:rsidR="00C85A54">
      <w:t>1 July 2022</w:t>
    </w:r>
  </w:p>
  <w:p w:rsidR="00A2759F" w:rsidRDefault="00A2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6C" w:rsidRDefault="00D94D11">
      <w:pPr>
        <w:spacing w:after="0" w:line="240" w:lineRule="auto"/>
      </w:pPr>
      <w:r>
        <w:separator/>
      </w:r>
    </w:p>
  </w:footnote>
  <w:footnote w:type="continuationSeparator" w:id="0">
    <w:p w:rsidR="00B2526C" w:rsidRDefault="00D9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5" w:type="dxa"/>
      <w:tblInd w:w="-142" w:type="dxa"/>
      <w:tblLayout w:type="fixed"/>
      <w:tblLook w:val="04A0" w:firstRow="1" w:lastRow="0" w:firstColumn="1" w:lastColumn="0" w:noHBand="0" w:noVBand="1"/>
    </w:tblPr>
    <w:tblGrid>
      <w:gridCol w:w="1843"/>
      <w:gridCol w:w="5211"/>
      <w:gridCol w:w="3261"/>
    </w:tblGrid>
    <w:tr w:rsidR="007656B8" w:rsidTr="00C2435B">
      <w:trPr>
        <w:trHeight w:val="491"/>
      </w:trPr>
      <w:tc>
        <w:tcPr>
          <w:tcW w:w="1843" w:type="dxa"/>
          <w:hideMark/>
        </w:tcPr>
        <w:p w:rsidR="007656B8" w:rsidRDefault="007656B8" w:rsidP="007656B8">
          <w:pPr>
            <w:spacing w:after="0" w:line="240" w:lineRule="auto"/>
            <w:ind w:right="176"/>
            <w:jc w:val="both"/>
            <w:rPr>
              <w:rFonts w:ascii="Arial" w:eastAsia="Times New Roman" w:hAnsi="Arial" w:cs="Arial"/>
              <w:sz w:val="18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B2181E5" wp14:editId="4F812ACC">
                <wp:extent cx="708395" cy="909282"/>
                <wp:effectExtent l="0" t="0" r="0" b="5715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45" cy="92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</w:tcPr>
        <w:p w:rsidR="007656B8" w:rsidRDefault="007656B8" w:rsidP="007656B8">
          <w:pPr>
            <w:spacing w:after="0" w:line="240" w:lineRule="auto"/>
            <w:ind w:right="176"/>
            <w:rPr>
              <w:rFonts w:ascii="Arial" w:eastAsia="Times New Roman" w:hAnsi="Arial" w:cs="Arial"/>
              <w:szCs w:val="20"/>
            </w:rPr>
          </w:pPr>
        </w:p>
        <w:p w:rsidR="007656B8" w:rsidRDefault="007656B8" w:rsidP="007656B8">
          <w:pPr>
            <w:spacing w:after="0" w:line="240" w:lineRule="auto"/>
            <w:ind w:right="176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Whitehorse City Council</w:t>
          </w:r>
        </w:p>
        <w:p w:rsidR="007656B8" w:rsidRDefault="007656B8" w:rsidP="007656B8">
          <w:pPr>
            <w:spacing w:after="0" w:line="240" w:lineRule="auto"/>
            <w:ind w:right="176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379-399 Whitehorse Road, Nunawading</w:t>
          </w:r>
        </w:p>
        <w:p w:rsidR="007656B8" w:rsidRDefault="007656B8" w:rsidP="007656B8">
          <w:pPr>
            <w:spacing w:after="0" w:line="240" w:lineRule="auto"/>
            <w:ind w:right="176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Locked Bag 2, Nunawading Delivery Centre VIC 3110</w:t>
          </w:r>
        </w:p>
        <w:p w:rsidR="007656B8" w:rsidRDefault="007656B8" w:rsidP="007656B8">
          <w:pPr>
            <w:tabs>
              <w:tab w:val="left" w:pos="993"/>
              <w:tab w:val="right" w:pos="3365"/>
            </w:tabs>
            <w:spacing w:after="0" w:line="240" w:lineRule="auto"/>
            <w:ind w:right="176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DX13209</w:t>
          </w:r>
          <w:r>
            <w:rPr>
              <w:rFonts w:ascii="Arial" w:eastAsia="Times New Roman" w:hAnsi="Arial" w:cs="Arial"/>
              <w:sz w:val="14"/>
              <w:szCs w:val="16"/>
            </w:rPr>
            <w:tab/>
            <w:t>MITCHAM</w:t>
          </w:r>
        </w:p>
        <w:p w:rsidR="007656B8" w:rsidRDefault="007656B8" w:rsidP="007656B8">
          <w:pPr>
            <w:tabs>
              <w:tab w:val="left" w:pos="993"/>
            </w:tabs>
            <w:spacing w:after="0" w:line="240" w:lineRule="auto"/>
            <w:ind w:right="176"/>
            <w:jc w:val="both"/>
            <w:rPr>
              <w:rFonts w:ascii="Arial" w:eastAsia="Times New Roman" w:hAnsi="Arial" w:cs="Arial"/>
              <w:sz w:val="14"/>
              <w:szCs w:val="16"/>
            </w:rPr>
          </w:pPr>
        </w:p>
        <w:p w:rsidR="007656B8" w:rsidRDefault="007656B8" w:rsidP="007656B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ABN 39 549 568 822</w:t>
          </w:r>
        </w:p>
      </w:tc>
      <w:tc>
        <w:tcPr>
          <w:tcW w:w="3261" w:type="dxa"/>
        </w:tcPr>
        <w:p w:rsidR="007656B8" w:rsidRDefault="007656B8" w:rsidP="007656B8">
          <w:pPr>
            <w:spacing w:after="0" w:line="240" w:lineRule="auto"/>
            <w:ind w:right="176"/>
            <w:rPr>
              <w:rFonts w:ascii="Arial" w:eastAsia="Times New Roman" w:hAnsi="Arial" w:cs="Arial"/>
              <w:szCs w:val="20"/>
            </w:rPr>
          </w:pPr>
        </w:p>
        <w:p w:rsidR="007656B8" w:rsidRDefault="007656B8" w:rsidP="007656B8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Telephone: 03 9262 6333</w:t>
          </w:r>
        </w:p>
        <w:p w:rsidR="007656B8" w:rsidRDefault="007656B8" w:rsidP="007656B8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TTY: 03 9262 6323 TIS 131450</w:t>
          </w:r>
        </w:p>
        <w:p w:rsidR="007656B8" w:rsidRDefault="007656B8" w:rsidP="007656B8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5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 xml:space="preserve">Email: </w:t>
          </w:r>
          <w:hyperlink r:id="rId2" w:history="1">
            <w:r w:rsidRPr="009E23AE">
              <w:rPr>
                <w:rStyle w:val="Hyperlink"/>
                <w:rFonts w:ascii="Arial" w:eastAsia="Times New Roman" w:hAnsi="Arial" w:cs="Arial"/>
                <w:sz w:val="14"/>
                <w:szCs w:val="15"/>
              </w:rPr>
              <w:t>customer.service@whitehorse.vic.gov.au</w:t>
            </w:r>
          </w:hyperlink>
        </w:p>
        <w:p w:rsidR="007656B8" w:rsidRDefault="007656B8" w:rsidP="007656B8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5"/>
            </w:rPr>
            <w:t xml:space="preserve">Website: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color w:val="0000FF"/>
                <w:sz w:val="14"/>
                <w:szCs w:val="15"/>
              </w:rPr>
              <w:t>www.whitehorse.vic.gov.au</w:t>
            </w:r>
          </w:hyperlink>
        </w:p>
        <w:p w:rsidR="007656B8" w:rsidRDefault="007656B8" w:rsidP="007656B8">
          <w:pPr>
            <w:spacing w:after="0" w:line="240" w:lineRule="auto"/>
            <w:rPr>
              <w:rFonts w:ascii="Arial" w:eastAsia="Times New Roman" w:hAnsi="Arial"/>
              <w:sz w:val="14"/>
              <w:szCs w:val="20"/>
            </w:rPr>
          </w:pPr>
        </w:p>
      </w:tc>
    </w:tr>
  </w:tbl>
  <w:p w:rsidR="003F5EDB" w:rsidRDefault="007656B8" w:rsidP="0019481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3B0A6" wp14:editId="0AAC904C">
              <wp:simplePos x="0" y="0"/>
              <wp:positionH relativeFrom="column">
                <wp:posOffset>-28575</wp:posOffset>
              </wp:positionH>
              <wp:positionV relativeFrom="paragraph">
                <wp:posOffset>35560</wp:posOffset>
              </wp:positionV>
              <wp:extent cx="63150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97B4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8pt" to="4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" strokecolor="#161616 [33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B" w:rsidRDefault="0055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620"/>
    <w:multiLevelType w:val="hybridMultilevel"/>
    <w:tmpl w:val="E912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741"/>
    <w:multiLevelType w:val="hybridMultilevel"/>
    <w:tmpl w:val="9C8E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1E7"/>
    <w:multiLevelType w:val="multilevel"/>
    <w:tmpl w:val="374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F1336"/>
    <w:multiLevelType w:val="hybridMultilevel"/>
    <w:tmpl w:val="CA26C2E8"/>
    <w:lvl w:ilvl="0" w:tplc="EDB84520">
      <w:start w:val="1"/>
      <w:numFmt w:val="decimal"/>
      <w:lvlText w:val="%1."/>
      <w:lvlJc w:val="left"/>
      <w:pPr>
        <w:ind w:left="713" w:hanging="855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>
      <w:start w:val="1"/>
      <w:numFmt w:val="lowerRoman"/>
      <w:lvlText w:val="%3."/>
      <w:lvlJc w:val="right"/>
      <w:pPr>
        <w:ind w:left="1658" w:hanging="180"/>
      </w:pPr>
    </w:lvl>
    <w:lvl w:ilvl="3" w:tplc="0C09000F">
      <w:start w:val="1"/>
      <w:numFmt w:val="decimal"/>
      <w:lvlText w:val="%4."/>
      <w:lvlJc w:val="left"/>
      <w:pPr>
        <w:ind w:left="2378" w:hanging="360"/>
      </w:pPr>
    </w:lvl>
    <w:lvl w:ilvl="4" w:tplc="0C090019">
      <w:start w:val="1"/>
      <w:numFmt w:val="lowerLetter"/>
      <w:lvlText w:val="%5."/>
      <w:lvlJc w:val="left"/>
      <w:pPr>
        <w:ind w:left="3098" w:hanging="360"/>
      </w:pPr>
    </w:lvl>
    <w:lvl w:ilvl="5" w:tplc="0C09001B">
      <w:start w:val="1"/>
      <w:numFmt w:val="lowerRoman"/>
      <w:lvlText w:val="%6."/>
      <w:lvlJc w:val="right"/>
      <w:pPr>
        <w:ind w:left="3818" w:hanging="180"/>
      </w:pPr>
    </w:lvl>
    <w:lvl w:ilvl="6" w:tplc="0C09000F">
      <w:start w:val="1"/>
      <w:numFmt w:val="decimal"/>
      <w:lvlText w:val="%7."/>
      <w:lvlJc w:val="left"/>
      <w:pPr>
        <w:ind w:left="4538" w:hanging="360"/>
      </w:pPr>
    </w:lvl>
    <w:lvl w:ilvl="7" w:tplc="0C090019">
      <w:start w:val="1"/>
      <w:numFmt w:val="lowerLetter"/>
      <w:lvlText w:val="%8."/>
      <w:lvlJc w:val="left"/>
      <w:pPr>
        <w:ind w:left="5258" w:hanging="360"/>
      </w:pPr>
    </w:lvl>
    <w:lvl w:ilvl="8" w:tplc="0C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A380B44"/>
    <w:multiLevelType w:val="hybridMultilevel"/>
    <w:tmpl w:val="D362CC4A"/>
    <w:lvl w:ilvl="0" w:tplc="3A6CABAA">
      <w:start w:val="1"/>
      <w:numFmt w:val="bullet"/>
      <w:lvlText w:val=""/>
      <w:lvlJc w:val="left"/>
      <w:pPr>
        <w:tabs>
          <w:tab w:val="num" w:pos="1566"/>
        </w:tabs>
        <w:ind w:left="1566" w:hanging="432"/>
      </w:pPr>
      <w:rPr>
        <w:rFonts w:ascii="Symbol" w:hAnsi="Symbol" w:hint="default"/>
      </w:rPr>
    </w:lvl>
    <w:lvl w:ilvl="1" w:tplc="7B223144">
      <w:start w:val="1"/>
      <w:numFmt w:val="lowerLetter"/>
      <w:lvlText w:val="(%2)"/>
      <w:lvlJc w:val="left"/>
      <w:pPr>
        <w:tabs>
          <w:tab w:val="num" w:pos="2305"/>
        </w:tabs>
        <w:ind w:left="2305" w:hanging="811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B6E09B2"/>
    <w:multiLevelType w:val="hybridMultilevel"/>
    <w:tmpl w:val="8FE4A86C"/>
    <w:lvl w:ilvl="0" w:tplc="473C3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485C"/>
    <w:multiLevelType w:val="hybridMultilevel"/>
    <w:tmpl w:val="61240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72E3"/>
    <w:multiLevelType w:val="hybridMultilevel"/>
    <w:tmpl w:val="3BCA2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CF1"/>
    <w:multiLevelType w:val="hybridMultilevel"/>
    <w:tmpl w:val="3D58AF46"/>
    <w:lvl w:ilvl="0" w:tplc="51DA9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5E58"/>
    <w:multiLevelType w:val="hybridMultilevel"/>
    <w:tmpl w:val="3BCA2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224B"/>
    <w:multiLevelType w:val="hybridMultilevel"/>
    <w:tmpl w:val="83C83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3F9"/>
    <w:multiLevelType w:val="hybridMultilevel"/>
    <w:tmpl w:val="19F2CA18"/>
    <w:lvl w:ilvl="0" w:tplc="473C3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B44"/>
    <w:multiLevelType w:val="hybridMultilevel"/>
    <w:tmpl w:val="AC8287C8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92F7E2B"/>
    <w:multiLevelType w:val="hybridMultilevel"/>
    <w:tmpl w:val="04C8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F5BA4"/>
    <w:multiLevelType w:val="hybridMultilevel"/>
    <w:tmpl w:val="DA08EE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141B5"/>
    <w:multiLevelType w:val="hybridMultilevel"/>
    <w:tmpl w:val="F754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2"/>
  </w:num>
  <w:num w:numId="13">
    <w:abstractNumId w:val="8"/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8"/>
    <w:rsid w:val="00002BDB"/>
    <w:rsid w:val="00014946"/>
    <w:rsid w:val="00026CB2"/>
    <w:rsid w:val="00027E0A"/>
    <w:rsid w:val="00047EB8"/>
    <w:rsid w:val="000503E2"/>
    <w:rsid w:val="0007572D"/>
    <w:rsid w:val="0009028A"/>
    <w:rsid w:val="000B73D9"/>
    <w:rsid w:val="000D04E0"/>
    <w:rsid w:val="000F4CE6"/>
    <w:rsid w:val="00132AD5"/>
    <w:rsid w:val="00184D69"/>
    <w:rsid w:val="0021299D"/>
    <w:rsid w:val="002467A8"/>
    <w:rsid w:val="002917B6"/>
    <w:rsid w:val="002973BA"/>
    <w:rsid w:val="002B01C3"/>
    <w:rsid w:val="002D79BC"/>
    <w:rsid w:val="002E309A"/>
    <w:rsid w:val="002F3C72"/>
    <w:rsid w:val="002F5F8A"/>
    <w:rsid w:val="00321F23"/>
    <w:rsid w:val="003359E3"/>
    <w:rsid w:val="00341277"/>
    <w:rsid w:val="003667A7"/>
    <w:rsid w:val="00387147"/>
    <w:rsid w:val="00390236"/>
    <w:rsid w:val="003C4F9F"/>
    <w:rsid w:val="003C7056"/>
    <w:rsid w:val="003E2474"/>
    <w:rsid w:val="00454FD7"/>
    <w:rsid w:val="004646F2"/>
    <w:rsid w:val="004A60B1"/>
    <w:rsid w:val="004A6F81"/>
    <w:rsid w:val="004D6D26"/>
    <w:rsid w:val="00500BC3"/>
    <w:rsid w:val="00537D9A"/>
    <w:rsid w:val="0055078B"/>
    <w:rsid w:val="005561A3"/>
    <w:rsid w:val="0056382A"/>
    <w:rsid w:val="00564852"/>
    <w:rsid w:val="005708F8"/>
    <w:rsid w:val="00590DC1"/>
    <w:rsid w:val="005A0279"/>
    <w:rsid w:val="005A67BB"/>
    <w:rsid w:val="005B711C"/>
    <w:rsid w:val="005C14AB"/>
    <w:rsid w:val="006105F2"/>
    <w:rsid w:val="00620948"/>
    <w:rsid w:val="00634760"/>
    <w:rsid w:val="00635181"/>
    <w:rsid w:val="00657288"/>
    <w:rsid w:val="00664B57"/>
    <w:rsid w:val="006829F4"/>
    <w:rsid w:val="006B6C7E"/>
    <w:rsid w:val="006E0FA5"/>
    <w:rsid w:val="006E1685"/>
    <w:rsid w:val="006E21C0"/>
    <w:rsid w:val="00750A02"/>
    <w:rsid w:val="007656B8"/>
    <w:rsid w:val="00767686"/>
    <w:rsid w:val="007A7C6C"/>
    <w:rsid w:val="007B492A"/>
    <w:rsid w:val="007B7868"/>
    <w:rsid w:val="00814CE2"/>
    <w:rsid w:val="00833EAF"/>
    <w:rsid w:val="008364C7"/>
    <w:rsid w:val="0087117A"/>
    <w:rsid w:val="008900CC"/>
    <w:rsid w:val="008A0728"/>
    <w:rsid w:val="008A1BFC"/>
    <w:rsid w:val="00900B84"/>
    <w:rsid w:val="00910329"/>
    <w:rsid w:val="00912021"/>
    <w:rsid w:val="009871DD"/>
    <w:rsid w:val="00987CFE"/>
    <w:rsid w:val="00990540"/>
    <w:rsid w:val="00A23526"/>
    <w:rsid w:val="00A2759F"/>
    <w:rsid w:val="00A30B7C"/>
    <w:rsid w:val="00A827DD"/>
    <w:rsid w:val="00A912C1"/>
    <w:rsid w:val="00AF38B7"/>
    <w:rsid w:val="00B2526C"/>
    <w:rsid w:val="00B626FF"/>
    <w:rsid w:val="00BA536D"/>
    <w:rsid w:val="00BD035C"/>
    <w:rsid w:val="00C2355E"/>
    <w:rsid w:val="00C23BD4"/>
    <w:rsid w:val="00C314BA"/>
    <w:rsid w:val="00C43D1B"/>
    <w:rsid w:val="00C672BC"/>
    <w:rsid w:val="00C85A54"/>
    <w:rsid w:val="00CA211D"/>
    <w:rsid w:val="00CA2481"/>
    <w:rsid w:val="00CC7608"/>
    <w:rsid w:val="00CE2C4F"/>
    <w:rsid w:val="00D56B1B"/>
    <w:rsid w:val="00D7726A"/>
    <w:rsid w:val="00D8504F"/>
    <w:rsid w:val="00D94D11"/>
    <w:rsid w:val="00DA08CD"/>
    <w:rsid w:val="00DB07A7"/>
    <w:rsid w:val="00DB4C25"/>
    <w:rsid w:val="00DC588C"/>
    <w:rsid w:val="00E70D16"/>
    <w:rsid w:val="00E85012"/>
    <w:rsid w:val="00EA636F"/>
    <w:rsid w:val="00EB5EE6"/>
    <w:rsid w:val="00EE72CD"/>
    <w:rsid w:val="00EF367C"/>
    <w:rsid w:val="00EF5F2A"/>
    <w:rsid w:val="00F1458F"/>
    <w:rsid w:val="00F41787"/>
    <w:rsid w:val="00F45069"/>
    <w:rsid w:val="00F7022B"/>
    <w:rsid w:val="00F75E18"/>
    <w:rsid w:val="00F82001"/>
    <w:rsid w:val="00F86700"/>
    <w:rsid w:val="00FA08E8"/>
    <w:rsid w:val="00FA0DE4"/>
    <w:rsid w:val="00FA6F1B"/>
    <w:rsid w:val="00FD5857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3473B34"/>
  <w15:docId w15:val="{8422864A-15EE-4570-A0EF-67ED3FB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E3"/>
  </w:style>
  <w:style w:type="character" w:styleId="Hyperlink">
    <w:name w:val="Hyperlink"/>
    <w:basedOn w:val="DefaultParagraphFont"/>
    <w:uiPriority w:val="99"/>
    <w:unhideWhenUsed/>
    <w:rsid w:val="003359E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3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9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11"/>
  </w:style>
  <w:style w:type="paragraph" w:styleId="BalloonText">
    <w:name w:val="Balloon Text"/>
    <w:basedOn w:val="Normal"/>
    <w:link w:val="BalloonTextChar"/>
    <w:uiPriority w:val="99"/>
    <w:semiHidden/>
    <w:unhideWhenUsed/>
    <w:rsid w:val="00A8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DD"/>
    <w:rPr>
      <w:rFonts w:ascii="Segoe UI" w:hAnsi="Segoe UI" w:cs="Segoe UI"/>
      <w:sz w:val="18"/>
      <w:szCs w:val="18"/>
    </w:rPr>
  </w:style>
  <w:style w:type="paragraph" w:customStyle="1" w:styleId="sub-para">
    <w:name w:val="sub-para"/>
    <w:basedOn w:val="Normal"/>
    <w:rsid w:val="000F4CE6"/>
    <w:pPr>
      <w:tabs>
        <w:tab w:val="left" w:pos="1701"/>
      </w:tabs>
      <w:spacing w:after="240" w:line="240" w:lineRule="auto"/>
      <w:ind w:left="1701" w:hanging="567"/>
      <w:jc w:val="both"/>
    </w:pPr>
    <w:rPr>
      <w:rFonts w:ascii="Times" w:eastAsia="Times New Roman" w:hAnsi="Times" w:cs="Times New Roman"/>
      <w:noProof/>
      <w:sz w:val="24"/>
      <w:szCs w:val="20"/>
    </w:rPr>
  </w:style>
  <w:style w:type="paragraph" w:customStyle="1" w:styleId="paragraph">
    <w:name w:val="paragraph"/>
    <w:basedOn w:val="Normal"/>
    <w:rsid w:val="000F4CE6"/>
    <w:pPr>
      <w:tabs>
        <w:tab w:val="right" w:pos="680"/>
      </w:tabs>
      <w:spacing w:after="240" w:line="240" w:lineRule="atLeast"/>
      <w:ind w:left="1134" w:hanging="567"/>
      <w:jc w:val="both"/>
    </w:pPr>
    <w:rPr>
      <w:rFonts w:ascii="Times" w:eastAsia="Times New Roman" w:hAnsi="Times" w:cs="Times New Roman"/>
      <w:noProof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F4CE6"/>
    <w:pPr>
      <w:spacing w:after="0" w:line="240" w:lineRule="auto"/>
      <w:ind w:left="1134"/>
    </w:pPr>
    <w:rPr>
      <w:rFonts w:ascii="Swis721 Cn BT" w:eastAsia="Times New Roman" w:hAnsi="Swis721 Cn BT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4CE6"/>
    <w:rPr>
      <w:rFonts w:ascii="Swis721 Cn BT" w:eastAsia="Times New Roman" w:hAnsi="Swis721 Cn BT" w:cs="Times New Roman"/>
      <w:szCs w:val="20"/>
    </w:rPr>
  </w:style>
  <w:style w:type="paragraph" w:customStyle="1" w:styleId="Default">
    <w:name w:val="Default"/>
    <w:rsid w:val="000F4C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1277"/>
  </w:style>
  <w:style w:type="table" w:customStyle="1" w:styleId="TableGrid1">
    <w:name w:val="Table Grid1"/>
    <w:basedOn w:val="TableNormal"/>
    <w:next w:val="TableGrid"/>
    <w:uiPriority w:val="39"/>
    <w:rsid w:val="00E8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rse.vic.gov.au" TargetMode="External"/><Relationship Id="rId13" Type="http://schemas.openxmlformats.org/officeDocument/2006/relationships/hyperlink" Target="https://www.whitehorse.vic.gov.au/residential-parking-perm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.service@whitehorse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ehorse.vic.gov.au" TargetMode="External"/><Relationship Id="rId2" Type="http://schemas.openxmlformats.org/officeDocument/2006/relationships/hyperlink" Target="mailto:customer.service@whitehorse.vic.gov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1619-7006-46C5-8EF6-9B6767D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Kloprogge</dc:creator>
  <cp:keywords/>
  <dc:description/>
  <cp:lastModifiedBy>Garth Stewart</cp:lastModifiedBy>
  <cp:revision>2</cp:revision>
  <cp:lastPrinted>2020-01-02T02:43:00Z</cp:lastPrinted>
  <dcterms:created xsi:type="dcterms:W3CDTF">2022-07-01T01:21:00Z</dcterms:created>
  <dcterms:modified xsi:type="dcterms:W3CDTF">2022-07-01T01:21:00Z</dcterms:modified>
</cp:coreProperties>
</file>